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562C4B26" w:rsidR="00C353EA" w:rsidRPr="00A86A0F" w:rsidRDefault="00375F84" w:rsidP="00AD270A">
      <w:pPr>
        <w:widowControl w:val="0"/>
        <w:tabs>
          <w:tab w:val="left" w:pos="4111"/>
        </w:tabs>
        <w:spacing w:after="0" w:line="276" w:lineRule="auto"/>
        <w:jc w:val="center"/>
        <w:rPr>
          <w:rFonts w:ascii="Arial" w:eastAsia="Times New Roman" w:hAnsi="Arial" w:cs="Arial"/>
          <w:b/>
          <w:bCs/>
          <w:color w:val="000000"/>
          <w:sz w:val="28"/>
          <w:szCs w:val="28"/>
          <w:lang w:eastAsia="it-IT"/>
        </w:rPr>
      </w:pPr>
      <w:r>
        <w:rPr>
          <w:rFonts w:ascii="Arial" w:eastAsia="Times New Roman" w:hAnsi="Arial" w:cs="Arial"/>
          <w:b/>
          <w:bCs/>
          <w:color w:val="000000"/>
          <w:sz w:val="28"/>
          <w:szCs w:val="28"/>
          <w:lang w:eastAsia="it-IT"/>
        </w:rPr>
        <w:t>Allegato 1</w:t>
      </w:r>
      <w:r w:rsidR="008C01DB" w:rsidRPr="00A86A0F">
        <w:rPr>
          <w:rFonts w:ascii="Arial" w:eastAsia="Times New Roman" w:hAnsi="Arial" w:cs="Arial"/>
          <w:b/>
          <w:bCs/>
          <w:color w:val="000000"/>
          <w:sz w:val="28"/>
          <w:szCs w:val="28"/>
          <w:lang w:eastAsia="it-IT"/>
        </w:rPr>
        <w:t xml:space="preserve"> POS D</w:t>
      </w:r>
      <w:r w:rsidR="006D6E60">
        <w:rPr>
          <w:rFonts w:ascii="Arial" w:eastAsia="Times New Roman" w:hAnsi="Arial" w:cs="Arial"/>
          <w:b/>
          <w:bCs/>
          <w:color w:val="000000"/>
          <w:sz w:val="28"/>
          <w:szCs w:val="28"/>
          <w:lang w:eastAsia="it-IT"/>
        </w:rPr>
        <w:t>.1c</w:t>
      </w:r>
    </w:p>
    <w:p w14:paraId="692137A4" w14:textId="77777777" w:rsidR="00C353EA" w:rsidRPr="00C353EA" w:rsidRDefault="00C353EA" w:rsidP="00AD270A">
      <w:pPr>
        <w:widowControl w:val="0"/>
        <w:spacing w:after="60" w:line="276" w:lineRule="auto"/>
        <w:jc w:val="center"/>
        <w:rPr>
          <w:rFonts w:ascii="Arial" w:eastAsia="Arial Unicode MS" w:hAnsi="Arial" w:cs="Arial Unicode MS"/>
          <w:color w:val="000000"/>
          <w:sz w:val="20"/>
          <w:szCs w:val="20"/>
          <w:lang w:eastAsia="it-IT"/>
        </w:rPr>
      </w:pPr>
      <w:bookmarkStart w:id="0" w:name="_GoBack"/>
      <w:bookmarkEnd w:id="0"/>
    </w:p>
    <w:p w14:paraId="2224C574" w14:textId="77777777" w:rsidR="00375F84" w:rsidRDefault="00375F84" w:rsidP="00375F84">
      <w:pPr>
        <w:autoSpaceDE w:val="0"/>
        <w:autoSpaceDN w:val="0"/>
        <w:adjustRightInd w:val="0"/>
        <w:spacing w:after="0" w:line="240" w:lineRule="atLeast"/>
        <w:rPr>
          <w:rFonts w:eastAsia="Times New Roman" w:cs="Arial"/>
          <w:b/>
          <w:sz w:val="20"/>
          <w:szCs w:val="20"/>
        </w:rPr>
      </w:pPr>
      <w:r>
        <w:rPr>
          <w:rFonts w:eastAsia="Times New Roman" w:cs="Arial"/>
          <w:b/>
          <w:sz w:val="20"/>
          <w:szCs w:val="20"/>
        </w:rPr>
        <w:t>Contenuti minimi Avviso Pubblico (Regimi di Aiuto)</w:t>
      </w:r>
    </w:p>
    <w:p w14:paraId="77B7B5E6" w14:textId="77777777" w:rsidR="00375F84" w:rsidRDefault="00375F84" w:rsidP="00375F84">
      <w:pPr>
        <w:autoSpaceDE w:val="0"/>
        <w:autoSpaceDN w:val="0"/>
        <w:adjustRightInd w:val="0"/>
        <w:spacing w:after="0" w:line="240" w:lineRule="atLeast"/>
        <w:rPr>
          <w:rFonts w:ascii="Times-Roman" w:eastAsia="Times New Roman" w:hAnsi="Times-Roman" w:cs="Times-Roman"/>
          <w:color w:val="000000"/>
        </w:rPr>
      </w:pPr>
    </w:p>
    <w:p w14:paraId="5DCA32B0" w14:textId="77777777" w:rsidR="00375F84" w:rsidRDefault="00375F84" w:rsidP="00375F84">
      <w:pPr>
        <w:tabs>
          <w:tab w:val="num" w:pos="1260"/>
        </w:tabs>
        <w:spacing w:after="120" w:line="240" w:lineRule="atLeast"/>
        <w:rPr>
          <w:rFonts w:ascii="Arial" w:eastAsia="Arial Unicode MS" w:hAnsi="Arial" w:cs="Arial"/>
          <w:color w:val="000000"/>
          <w:sz w:val="20"/>
          <w:szCs w:val="20"/>
        </w:rPr>
      </w:pPr>
      <w:r>
        <w:rPr>
          <w:rFonts w:eastAsia="Arial Unicode MS" w:cs="Arial"/>
          <w:color w:val="000000"/>
          <w:sz w:val="20"/>
          <w:szCs w:val="20"/>
        </w:rPr>
        <w:t>Gli avvisi di diritto pubblico per la selezione dei progetti devono riportare devono riportare quali contenuti minimi:</w:t>
      </w:r>
    </w:p>
    <w:p w14:paraId="310766C6"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Riferimenti legislativi e normativi.</w:t>
      </w:r>
    </w:p>
    <w:p w14:paraId="03FE95CC"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Obiettivi generali: contesto di riferimento entro cui si inseriscono le azioni dell’avviso, strategie generali dell’intervento e obiettivi specifici dello stesso.</w:t>
      </w:r>
    </w:p>
    <w:p w14:paraId="26372E99" w14:textId="64285C84" w:rsidR="00375F84" w:rsidRPr="00A167AA" w:rsidRDefault="00375F84" w:rsidP="00C075A1">
      <w:pPr>
        <w:numPr>
          <w:ilvl w:val="0"/>
          <w:numId w:val="5"/>
        </w:numPr>
        <w:tabs>
          <w:tab w:val="left" w:pos="5921"/>
        </w:tabs>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Azioni finanziabili: descrizione analitica delle azioni finanziabili, nonché indicazione di eventuali richieste di integrazione tra le diverse tipologie di azione e di standard di durata dei progetti. La descrizione delle azioni deve consentire, laddove possibile, la presentazione di operazioni articolate per fasi di esecuzione e prodotti/servizi da consegnare, nonché fornire una chiara indicazione sui tempi e modalità di consegna dei prodotti/servizi. Per ciascuna azione inserita occorre indicare l’Asse di riferimento del POR FSE, l’Obiettivo ed operativo/i specifico, l’Azione di accordo di Partenariato richiamata nel programma Operativo, la categoria di spesa e la tipologia di azione e l’obiettivo del QSN.</w:t>
      </w: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02"/>
        <w:gridCol w:w="5410"/>
      </w:tblGrid>
      <w:tr w:rsidR="00375F84" w14:paraId="2448CAA8" w14:textId="77777777" w:rsidTr="00375F84">
        <w:trPr>
          <w:trHeight w:val="383"/>
          <w:jc w:val="center"/>
        </w:trPr>
        <w:tc>
          <w:tcPr>
            <w:tcW w:w="3300" w:type="dxa"/>
            <w:tcBorders>
              <w:top w:val="single" w:sz="4" w:space="0" w:color="auto"/>
              <w:left w:val="single" w:sz="4" w:space="0" w:color="auto"/>
              <w:bottom w:val="single" w:sz="4" w:space="0" w:color="auto"/>
              <w:right w:val="single" w:sz="4" w:space="0" w:color="auto"/>
            </w:tcBorders>
            <w:vAlign w:val="center"/>
          </w:tcPr>
          <w:p w14:paraId="2E037BED" w14:textId="77777777" w:rsidR="00375F84" w:rsidRDefault="00375F84">
            <w:pPr>
              <w:spacing w:line="240" w:lineRule="atLeast"/>
              <w:rPr>
                <w:rFonts w:eastAsia="Times New Roman" w:cs="Arial"/>
                <w:b/>
                <w:i/>
                <w:sz w:val="20"/>
                <w:szCs w:val="20"/>
              </w:rPr>
            </w:pPr>
            <w:r>
              <w:rPr>
                <w:rFonts w:eastAsia="Times New Roman" w:cs="Arial"/>
                <w:b/>
                <w:i/>
                <w:sz w:val="20"/>
                <w:szCs w:val="20"/>
              </w:rPr>
              <w:t>Asse Prioritario</w:t>
            </w:r>
          </w:p>
          <w:p w14:paraId="56B5EC7E" w14:textId="77777777" w:rsidR="00375F84" w:rsidRDefault="00375F84">
            <w:pPr>
              <w:spacing w:line="240" w:lineRule="atLeas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1C3E7CDC" w14:textId="77777777" w:rsidR="00375F84" w:rsidRDefault="00375F84">
            <w:pPr>
              <w:spacing w:line="240" w:lineRule="atLeast"/>
              <w:rPr>
                <w:rFonts w:eastAsia="Times New Roman" w:cs="Arial"/>
                <w:sz w:val="20"/>
                <w:szCs w:val="20"/>
              </w:rPr>
            </w:pPr>
          </w:p>
        </w:tc>
      </w:tr>
      <w:tr w:rsidR="00375F84" w14:paraId="58B448CD" w14:textId="77777777" w:rsidTr="00375F84">
        <w:trPr>
          <w:jc w:val="center"/>
        </w:trPr>
        <w:tc>
          <w:tcPr>
            <w:tcW w:w="3300" w:type="dxa"/>
            <w:tcBorders>
              <w:top w:val="single" w:sz="4" w:space="0" w:color="auto"/>
              <w:left w:val="single" w:sz="4" w:space="0" w:color="auto"/>
              <w:bottom w:val="single" w:sz="4" w:space="0" w:color="auto"/>
              <w:right w:val="single" w:sz="4" w:space="0" w:color="auto"/>
            </w:tcBorders>
            <w:vAlign w:val="center"/>
            <w:hideMark/>
          </w:tcPr>
          <w:p w14:paraId="1793547E" w14:textId="77777777" w:rsidR="00375F84" w:rsidRDefault="00375F84">
            <w:pPr>
              <w:spacing w:line="240" w:lineRule="atLeast"/>
              <w:rPr>
                <w:rFonts w:eastAsia="Times New Roman" w:cs="Arial"/>
                <w:b/>
                <w:i/>
                <w:sz w:val="20"/>
                <w:szCs w:val="20"/>
              </w:rPr>
            </w:pPr>
            <w:r>
              <w:rPr>
                <w:rFonts w:eastAsia="Times New Roman" w:cs="Arial"/>
                <w:b/>
                <w:i/>
                <w:sz w:val="20"/>
                <w:szCs w:val="20"/>
              </w:rPr>
              <w:t>Obiettivo specifico</w:t>
            </w:r>
          </w:p>
          <w:p w14:paraId="0A1D27DD" w14:textId="77777777" w:rsidR="00375F84" w:rsidRDefault="00375F84">
            <w:pPr>
              <w:spacing w:line="240" w:lineRule="atLeast"/>
              <w:rPr>
                <w:rFonts w:eastAsia="Times New Roman" w:cs="Arial"/>
                <w:b/>
                <w:i/>
                <w:sz w:val="20"/>
                <w:szCs w:val="20"/>
              </w:rPr>
            </w:pPr>
            <w:r>
              <w:rPr>
                <w:rFonts w:eastAsia="Times New Roman" w:cs="Arial"/>
                <w:b/>
                <w:i/>
                <w:sz w:val="20"/>
                <w:szCs w:val="20"/>
              </w:rPr>
              <w:t>P.O. Puglia 2014-2020</w:t>
            </w:r>
          </w:p>
        </w:tc>
        <w:tc>
          <w:tcPr>
            <w:tcW w:w="5407" w:type="dxa"/>
            <w:tcBorders>
              <w:top w:val="single" w:sz="4" w:space="0" w:color="auto"/>
              <w:left w:val="single" w:sz="4" w:space="0" w:color="auto"/>
              <w:bottom w:val="single" w:sz="4" w:space="0" w:color="auto"/>
              <w:right w:val="single" w:sz="4" w:space="0" w:color="auto"/>
            </w:tcBorders>
            <w:vAlign w:val="center"/>
          </w:tcPr>
          <w:p w14:paraId="1B8F04B5" w14:textId="77777777" w:rsidR="00375F84" w:rsidRDefault="00375F84">
            <w:pPr>
              <w:spacing w:after="0" w:line="240" w:lineRule="atLeast"/>
              <w:ind w:right="76"/>
              <w:rPr>
                <w:rFonts w:eastAsia="Times New Roman" w:cs="Arial"/>
                <w:spacing w:val="-4"/>
                <w:sz w:val="20"/>
                <w:szCs w:val="20"/>
                <w:lang w:val="x-none"/>
              </w:rPr>
            </w:pPr>
          </w:p>
        </w:tc>
      </w:tr>
      <w:tr w:rsidR="00375F84" w14:paraId="2C3CDDB1" w14:textId="77777777" w:rsidTr="00375F84">
        <w:trPr>
          <w:trHeight w:val="452"/>
          <w:jc w:val="center"/>
        </w:trPr>
        <w:tc>
          <w:tcPr>
            <w:tcW w:w="3300" w:type="dxa"/>
            <w:tcBorders>
              <w:top w:val="single" w:sz="4" w:space="0" w:color="auto"/>
              <w:left w:val="single" w:sz="4" w:space="0" w:color="auto"/>
              <w:bottom w:val="single" w:sz="4" w:space="0" w:color="auto"/>
              <w:right w:val="single" w:sz="4" w:space="0" w:color="auto"/>
            </w:tcBorders>
            <w:vAlign w:val="center"/>
            <w:hideMark/>
          </w:tcPr>
          <w:p w14:paraId="1759D164" w14:textId="77777777" w:rsidR="00375F84" w:rsidRDefault="00375F84">
            <w:pPr>
              <w:spacing w:line="240" w:lineRule="atLeast"/>
              <w:rPr>
                <w:rFonts w:eastAsia="Times New Roman" w:cs="Arial"/>
                <w:b/>
                <w:i/>
                <w:sz w:val="20"/>
                <w:szCs w:val="20"/>
              </w:rPr>
            </w:pPr>
            <w:r>
              <w:rPr>
                <w:rFonts w:eastAsia="Times New Roman" w:cs="Arial"/>
                <w:b/>
                <w:i/>
                <w:sz w:val="20"/>
                <w:szCs w:val="20"/>
              </w:rPr>
              <w:t>Linea di intervento</w:t>
            </w:r>
          </w:p>
          <w:p w14:paraId="6BC2B8E6" w14:textId="77777777" w:rsidR="00375F84" w:rsidRDefault="00375F84">
            <w:pPr>
              <w:spacing w:line="240" w:lineRule="atLeast"/>
              <w:rPr>
                <w:rFonts w:eastAsia="Times New Roman" w:cs="Arial"/>
                <w:b/>
                <w:i/>
                <w:sz w:val="20"/>
                <w:szCs w:val="20"/>
              </w:rPr>
            </w:pPr>
            <w:r>
              <w:rPr>
                <w:rFonts w:eastAsia="Times New Roman" w:cs="Arial"/>
                <w:b/>
                <w:i/>
                <w:sz w:val="20"/>
                <w:szCs w:val="20"/>
              </w:rPr>
              <w:t>P.O. Puglia 2014-2020</w:t>
            </w:r>
          </w:p>
        </w:tc>
        <w:tc>
          <w:tcPr>
            <w:tcW w:w="5407" w:type="dxa"/>
            <w:tcBorders>
              <w:top w:val="single" w:sz="4" w:space="0" w:color="auto"/>
              <w:left w:val="single" w:sz="4" w:space="0" w:color="auto"/>
              <w:bottom w:val="single" w:sz="4" w:space="0" w:color="auto"/>
              <w:right w:val="single" w:sz="4" w:space="0" w:color="auto"/>
            </w:tcBorders>
            <w:vAlign w:val="center"/>
          </w:tcPr>
          <w:p w14:paraId="283C4C03" w14:textId="77777777" w:rsidR="00375F84" w:rsidRDefault="00375F84">
            <w:pPr>
              <w:spacing w:after="0" w:line="240" w:lineRule="atLeast"/>
              <w:ind w:right="76"/>
              <w:rPr>
                <w:rFonts w:eastAsia="Times New Roman" w:cs="Arial"/>
                <w:spacing w:val="-4"/>
                <w:sz w:val="20"/>
                <w:szCs w:val="20"/>
                <w:lang w:val="x-none"/>
              </w:rPr>
            </w:pPr>
          </w:p>
        </w:tc>
      </w:tr>
      <w:tr w:rsidR="00375F84" w14:paraId="424809A7" w14:textId="77777777" w:rsidTr="00375F84">
        <w:trPr>
          <w:trHeight w:val="199"/>
          <w:jc w:val="center"/>
        </w:trPr>
        <w:tc>
          <w:tcPr>
            <w:tcW w:w="3300" w:type="dxa"/>
            <w:tcBorders>
              <w:top w:val="single" w:sz="4" w:space="0" w:color="auto"/>
              <w:left w:val="single" w:sz="4" w:space="0" w:color="auto"/>
              <w:bottom w:val="single" w:sz="4" w:space="0" w:color="auto"/>
              <w:right w:val="single" w:sz="4" w:space="0" w:color="auto"/>
            </w:tcBorders>
            <w:vAlign w:val="center"/>
          </w:tcPr>
          <w:p w14:paraId="36119788" w14:textId="77777777" w:rsidR="00375F84" w:rsidRDefault="00375F84">
            <w:pPr>
              <w:spacing w:line="240" w:lineRule="atLeast"/>
              <w:rPr>
                <w:rFonts w:eastAsia="Times New Roman" w:cs="Arial"/>
                <w:b/>
                <w:i/>
                <w:sz w:val="20"/>
                <w:szCs w:val="20"/>
              </w:rPr>
            </w:pPr>
            <w:r>
              <w:rPr>
                <w:rFonts w:eastAsia="Times New Roman" w:cs="Arial"/>
                <w:b/>
                <w:i/>
                <w:sz w:val="20"/>
                <w:szCs w:val="20"/>
              </w:rPr>
              <w:t>Tipologia di azione</w:t>
            </w:r>
          </w:p>
          <w:p w14:paraId="5BEF1A24" w14:textId="77777777" w:rsidR="00375F84" w:rsidRDefault="00375F84">
            <w:pPr>
              <w:spacing w:line="240" w:lineRule="atLeas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7ECAB9D5" w14:textId="77777777" w:rsidR="00375F84" w:rsidRDefault="00375F84">
            <w:pPr>
              <w:autoSpaceDE w:val="0"/>
              <w:autoSpaceDN w:val="0"/>
              <w:adjustRightInd w:val="0"/>
              <w:spacing w:line="240" w:lineRule="atLeast"/>
              <w:rPr>
                <w:rFonts w:eastAsia="Times New Roman" w:cs="Arial"/>
                <w:sz w:val="20"/>
                <w:szCs w:val="20"/>
              </w:rPr>
            </w:pPr>
          </w:p>
        </w:tc>
      </w:tr>
    </w:tbl>
    <w:p w14:paraId="60A72D73" w14:textId="77777777" w:rsidR="00375F84" w:rsidRDefault="00375F84" w:rsidP="00375F84">
      <w:pPr>
        <w:tabs>
          <w:tab w:val="left" w:pos="5921"/>
        </w:tabs>
        <w:autoSpaceDE w:val="0"/>
        <w:autoSpaceDN w:val="0"/>
        <w:adjustRightInd w:val="0"/>
        <w:spacing w:after="120" w:line="240" w:lineRule="atLeast"/>
        <w:ind w:left="720"/>
        <w:rPr>
          <w:rFonts w:ascii="Arial" w:eastAsia="Arial Unicode MS" w:hAnsi="Arial" w:cs="Arial"/>
          <w:color w:val="000000"/>
          <w:sz w:val="20"/>
          <w:szCs w:val="20"/>
        </w:rPr>
      </w:pPr>
    </w:p>
    <w:p w14:paraId="08877032"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Aiuti di stato: riferimenti alla normativa comunitaria, nazionale e regionale in materia di aiuti, ove applicabile, ed individuazione delle azioni, tra quelle messe in avviso, che configurano aiuti di Stato.</w:t>
      </w:r>
    </w:p>
    <w:p w14:paraId="4EE7D25B" w14:textId="77777777" w:rsidR="00375F84" w:rsidRDefault="00375F84" w:rsidP="00375F84">
      <w:pPr>
        <w:numPr>
          <w:ilvl w:val="0"/>
          <w:numId w:val="5"/>
        </w:numPr>
        <w:autoSpaceDE w:val="0"/>
        <w:autoSpaceDN w:val="0"/>
        <w:adjustRightInd w:val="0"/>
        <w:spacing w:after="0" w:line="240" w:lineRule="atLeast"/>
        <w:jc w:val="both"/>
        <w:rPr>
          <w:rFonts w:eastAsia="Arial Unicode MS" w:cs="Arial"/>
          <w:color w:val="000000"/>
          <w:sz w:val="20"/>
          <w:szCs w:val="20"/>
        </w:rPr>
      </w:pPr>
      <w:r>
        <w:rPr>
          <w:rFonts w:eastAsia="Arial Unicode MS" w:cs="Arial"/>
          <w:color w:val="000000"/>
          <w:sz w:val="20"/>
          <w:szCs w:val="20"/>
        </w:rPr>
        <w:t>Priorità: indicazione delle priorità generali e di specifiche modalità attuative con riferimento almeno a:</w:t>
      </w:r>
    </w:p>
    <w:p w14:paraId="2E7DBCA2"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pari opportunità e non discriminazione: il principio di pari opportunità sarà perseguito con una logica di intervento fondata sul mainstreaming sia garantendo una presenza femminile che orientativamente rifletta la situazione del mercato del lavoro, sia promuovendo azioni specifiche; in attuazione del principio di non discriminazione saranno attuati interventi la cui dimensione territoriale consenta di intervenire con una maggiore prossimità sulle problematiche che sono alla base delle forme di discriminazione più frequenti a livello locale;</w:t>
      </w:r>
    </w:p>
    <w:p w14:paraId="28BA68F2"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sviluppo sostenibile: gli obiettivi dell’intervento dovranno essere perseguiti nel quadro dello sviluppo sostenibile, della promozione, della tutela e del miglioramento dell’ambiente;</w:t>
      </w:r>
    </w:p>
    <w:p w14:paraId="1258DA71"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integrazione tra strumenti: saranno valutate positivamente le proposte orientate alla realizzazione e lo sviluppo di iniziative correlate finanziate con diverse fonti e modalità e diverse al fine di garantire il migliore impatto possibile sul territorio di riferimento;</w:t>
      </w:r>
    </w:p>
    <w:p w14:paraId="75C0E24F"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 xml:space="preserve">complementarietà con gli obiettivi/azioni previste da altri documenti programmatori: saranno valutate positivamente le proposte che dimostreranno un elevato grado di coerenza con gli </w:t>
      </w:r>
      <w:r>
        <w:rPr>
          <w:rFonts w:eastAsia="Arial Unicode MS" w:cs="Arial"/>
          <w:color w:val="000000"/>
          <w:sz w:val="20"/>
          <w:szCs w:val="20"/>
        </w:rPr>
        <w:lastRenderedPageBreak/>
        <w:t>indirizzi/strategie/obiettivi dei documenti regionali di programmazione, in funzione dello sviluppo socio-economico complessivo del territorio.</w:t>
      </w:r>
    </w:p>
    <w:p w14:paraId="03B6F8EC"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Buone prassi: saranno valutate positivamente le proposte che conterranno elementi di replicabilità e trasferibilità in altri contesti (settoriali/territoriali).</w:t>
      </w:r>
    </w:p>
    <w:p w14:paraId="1D7831E7"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Qualità del partenariato: in termini di valore aggiunto garantito all’iniziativa dall’articolazione e dalla qualificazione del Soggetto proponente in coerenza con le azioni proposte.</w:t>
      </w:r>
    </w:p>
    <w:p w14:paraId="271F3F4A"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Sviluppo locale: in relazione alla specificità di intervento dei singoli assi i progetti saranno valutati in funzione della realizzazione di azioni mirate allo sviluppo sia di aree subregionali che di aree di crisi industriale ed occupazionale e basati su accordi promossi da enti locali, parti sociali o da altri soggetti pubblici o privati.</w:t>
      </w:r>
    </w:p>
    <w:p w14:paraId="74CBC196" w14:textId="77777777" w:rsidR="00375F84" w:rsidRDefault="00375F84" w:rsidP="00375F84">
      <w:pPr>
        <w:numPr>
          <w:ilvl w:val="2"/>
          <w:numId w:val="6"/>
        </w:numPr>
        <w:autoSpaceDE w:val="0"/>
        <w:autoSpaceDN w:val="0"/>
        <w:adjustRightInd w:val="0"/>
        <w:spacing w:after="0" w:line="240" w:lineRule="atLeast"/>
        <w:ind w:left="1259" w:hanging="357"/>
        <w:jc w:val="both"/>
        <w:rPr>
          <w:rFonts w:eastAsia="Arial Unicode MS" w:cs="Arial"/>
          <w:color w:val="000000"/>
          <w:sz w:val="20"/>
          <w:szCs w:val="20"/>
        </w:rPr>
      </w:pPr>
      <w:r>
        <w:rPr>
          <w:rFonts w:eastAsia="Arial Unicode MS" w:cs="Arial"/>
          <w:color w:val="000000"/>
          <w:sz w:val="20"/>
          <w:szCs w:val="20"/>
        </w:rPr>
        <w:t>Ulteriori e particolari priorità individuati nei singoli avvisi pubblici.</w:t>
      </w:r>
    </w:p>
    <w:p w14:paraId="47CE912D" w14:textId="77777777" w:rsidR="00375F84" w:rsidRPr="00C075A1" w:rsidRDefault="00375F84" w:rsidP="00375F84">
      <w:pPr>
        <w:pStyle w:val="Paragrafoelenco"/>
        <w:numPr>
          <w:ilvl w:val="0"/>
          <w:numId w:val="5"/>
        </w:numPr>
        <w:autoSpaceDE w:val="0"/>
        <w:autoSpaceDN w:val="0"/>
        <w:adjustRightInd w:val="0"/>
        <w:spacing w:before="80" w:after="80"/>
        <w:rPr>
          <w:rFonts w:asciiTheme="minorHAnsi" w:hAnsiTheme="minorHAnsi" w:cstheme="minorHAnsi"/>
          <w:color w:val="000000"/>
          <w:sz w:val="20"/>
          <w:szCs w:val="20"/>
        </w:rPr>
      </w:pPr>
      <w:r w:rsidRPr="00C075A1">
        <w:rPr>
          <w:rFonts w:asciiTheme="minorHAnsi" w:hAnsiTheme="minorHAnsi" w:cstheme="minorHAnsi"/>
          <w:color w:val="000000"/>
          <w:sz w:val="20"/>
          <w:szCs w:val="20"/>
        </w:rPr>
        <w:t xml:space="preserve">Requisiti soggettivi e oggettivi per la presentazione dei progetti: indicazione delle categorie di soggetti abilitati a presentare domanda di ammissione a contribuzione finanziaria e requisiti di partecipazione, nel rispetto dei criteri di selezione approvati dal Comitato di Sorveglianza,  composizione richiesta di eventuali partnership, raggruppamenti di organismi, </w:t>
      </w:r>
      <w:proofErr w:type="spellStart"/>
      <w:r w:rsidRPr="00C075A1">
        <w:rPr>
          <w:rFonts w:asciiTheme="minorHAnsi" w:hAnsiTheme="minorHAnsi" w:cstheme="minorHAnsi"/>
          <w:color w:val="000000"/>
          <w:sz w:val="20"/>
          <w:szCs w:val="20"/>
        </w:rPr>
        <w:t>ATS.a</w:t>
      </w:r>
      <w:proofErr w:type="spellEnd"/>
      <w:r w:rsidRPr="00C075A1">
        <w:rPr>
          <w:rFonts w:asciiTheme="minorHAnsi" w:hAnsiTheme="minorHAnsi" w:cstheme="minorHAnsi"/>
          <w:color w:val="000000"/>
          <w:sz w:val="20"/>
          <w:szCs w:val="20"/>
        </w:rPr>
        <w:t xml:space="preserve">. Indicazione espressa di tutti i requisiti soggettivi e oggettivi specifici connessi alla natura dell’Asse, dell’Azione e dell’Avviso a valere sui quali saranno finanziate le operazioni, tra cui il requisito soggettivo del dimensionamento dell’impresa così come definito all’art. 2, Allegato I, del Reg. (UE) n. 651/2014 ss.mm.ii. </w:t>
      </w:r>
    </w:p>
    <w:p w14:paraId="5AA44496" w14:textId="77777777" w:rsidR="00375F84" w:rsidRDefault="00375F84" w:rsidP="00375F84">
      <w:pPr>
        <w:pStyle w:val="Paragrafoelenco"/>
        <w:numPr>
          <w:ilvl w:val="0"/>
          <w:numId w:val="5"/>
        </w:numPr>
        <w:autoSpaceDE w:val="0"/>
        <w:autoSpaceDN w:val="0"/>
        <w:adjustRightInd w:val="0"/>
        <w:spacing w:line="240" w:lineRule="atLeast"/>
        <w:rPr>
          <w:rFonts w:ascii="Arial" w:eastAsia="Arial Unicode MS" w:hAnsi="Arial" w:cs="Arial"/>
          <w:color w:val="000000"/>
          <w:sz w:val="20"/>
          <w:szCs w:val="20"/>
          <w:lang w:eastAsia="it-IT"/>
        </w:rPr>
      </w:pPr>
      <w:r w:rsidRPr="00C075A1">
        <w:rPr>
          <w:rFonts w:asciiTheme="minorHAnsi" w:eastAsia="Arial Unicode MS" w:hAnsiTheme="minorHAnsi" w:cstheme="minorHAnsi"/>
          <w:color w:val="000000"/>
          <w:sz w:val="20"/>
          <w:szCs w:val="20"/>
          <w:lang w:eastAsia="it-IT"/>
        </w:rPr>
        <w:t>Prevedere specifici punti di controllo mediante i quali è possibile accertare i requisiti qualitativi del personale docente e di tutte le figure chiave coinvolte nel progetto al fine di garantire un livello qualitativo adeguato. I contenuti minimi dell'Avviso, ove richiesto dovranno riportare anche la modalità di descrizione delle attività svolte;</w:t>
      </w:r>
    </w:p>
    <w:p w14:paraId="6AE81524" w14:textId="77777777" w:rsidR="00375F84" w:rsidRDefault="00375F84" w:rsidP="00375F84">
      <w:pPr>
        <w:numPr>
          <w:ilvl w:val="0"/>
          <w:numId w:val="5"/>
        </w:numPr>
        <w:autoSpaceDE w:val="0"/>
        <w:autoSpaceDN w:val="0"/>
        <w:adjustRightInd w:val="0"/>
        <w:spacing w:after="120" w:line="240" w:lineRule="atLeast"/>
        <w:jc w:val="both"/>
        <w:rPr>
          <w:rFonts w:ascii="Arial" w:eastAsia="Arial Unicode MS" w:hAnsi="Arial" w:cs="Arial"/>
          <w:color w:val="000000"/>
          <w:sz w:val="20"/>
          <w:szCs w:val="20"/>
          <w:lang w:eastAsia="it-IT"/>
        </w:rPr>
      </w:pPr>
      <w:r>
        <w:rPr>
          <w:rFonts w:eastAsia="Arial Unicode MS" w:cs="Arial"/>
          <w:color w:val="000000"/>
          <w:sz w:val="20"/>
          <w:szCs w:val="20"/>
        </w:rPr>
        <w:t>Destinatari: i soggetti destinatari delle azioni facenti parte degli avvisi devono essere chiaramente riconducibili ai documenti di programmazione generale.</w:t>
      </w:r>
    </w:p>
    <w:p w14:paraId="6480006F"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Risorse disponibili e vincoli finanziari: l’avviso deve contenere un piano finanziario in cui vengono evidenziate le risorse messe a disposizione; l’avviso potrà inoltre indicare eventuali limiti di costo aggiuntivi per specifiche tipologie di azione o voci di costo, e la facoltà da parte dell’Amministrazione di operare spostamenti tra le azioni messe a finanziamento ovvero di rideterminare l’importo finanziabile.</w:t>
      </w:r>
    </w:p>
    <w:p w14:paraId="1D9D93FE"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Modalità e termini per la presentazione delle operazioni: l’avviso deve riportare il termine di scadenza e le modalità di presentazione delle candidature (formulari da utilizzare, uffici di riferimento, modalità informative, ecc.).</w:t>
      </w:r>
    </w:p>
    <w:p w14:paraId="41433FCE"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Procedure e criteri di valutazione: negli avvisi sono indicate le condizioni di ammissibilità delle operazioni alla valutazione; i criteri di valutazione delle operazioni e i loro rispettivi pesi con riferimento alle finalità e alle priorità dei documenti di programmazione; l’eventuale punteggio minimo per ottenere l’idoneità.</w:t>
      </w:r>
    </w:p>
    <w:p w14:paraId="4BF39515"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Tempi ed esiti delle istruttorie: negli avvisi sono indicati i tempi previsti per la conclusione delle istruttorie e le modalità di pubblicizzazione dei risultati.</w:t>
      </w:r>
    </w:p>
    <w:p w14:paraId="5AAB18E6"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Eventuale termine per l’avvio delle attività.</w:t>
      </w:r>
    </w:p>
    <w:p w14:paraId="70E71A53"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Obblighi del Beneficiario, rispetto ai quali sono contenuti almeno:</w:t>
      </w:r>
    </w:p>
    <w:p w14:paraId="6CE9DC22" w14:textId="77777777" w:rsidR="00375F84" w:rsidRDefault="00375F84"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Pr>
          <w:rFonts w:eastAsia="Arial Unicode MS" w:cs="Arial"/>
          <w:color w:val="000000"/>
          <w:sz w:val="20"/>
          <w:szCs w:val="20"/>
        </w:rPr>
        <w:t>applicazione della normativa comunitaria in tema di pubblicità e informazione circa il finanziamento con fondi comunitari ai sensi dell’Allegato XII, Sezione 2.2, al Reg. (UE) n. 1303/2013 e del Reg. (UE) n. 821/2014 (richiamo al cofinanziamento comunitario delle operazioni, impiego dell’emblema dell’Unione Europea con indicazione del Fondo Strutturale);</w:t>
      </w:r>
    </w:p>
    <w:p w14:paraId="62AEF976" w14:textId="77777777" w:rsidR="00375F84" w:rsidRDefault="00375F84"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Pr>
          <w:rFonts w:eastAsia="Arial Unicode MS" w:cs="Arial"/>
          <w:color w:val="000000"/>
          <w:sz w:val="20"/>
          <w:szCs w:val="20"/>
        </w:rPr>
        <w:t xml:space="preserve">adozione di un sistema di contabilità separata o di codificazione contabile adeguata nella gestione di tutte le transazioni relative all’operazione cofinanziata a valere sulle risorse del PO (es. codice contabile associato al progetto); </w:t>
      </w:r>
    </w:p>
    <w:p w14:paraId="6DA52078" w14:textId="77777777" w:rsidR="00375F84" w:rsidRDefault="00375F84"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Pr>
          <w:rFonts w:eastAsia="Arial Unicode MS" w:cs="Arial"/>
          <w:color w:val="000000"/>
          <w:sz w:val="20"/>
          <w:szCs w:val="20"/>
        </w:rPr>
        <w:lastRenderedPageBreak/>
        <w:t>rispetto delle procedure e dei termini di rendicontazione;</w:t>
      </w:r>
    </w:p>
    <w:p w14:paraId="72DB9E6A" w14:textId="27ECA6A6" w:rsidR="00375F84" w:rsidRDefault="001B2719"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sidRPr="001B2719">
        <w:rPr>
          <w:rFonts w:eastAsia="Arial Unicode MS" w:cs="Arial"/>
          <w:color w:val="000000"/>
          <w:sz w:val="20"/>
          <w:szCs w:val="20"/>
        </w:rPr>
        <w:t>impegno a conservare e rendere disponibile,</w:t>
      </w:r>
      <w:r w:rsidRPr="001B2719">
        <w:rPr>
          <w:rFonts w:eastAsia="Arial Unicode MS" w:cs="Arial"/>
          <w:iCs/>
          <w:color w:val="000000"/>
          <w:sz w:val="20"/>
          <w:szCs w:val="20"/>
        </w:rPr>
        <w:t xml:space="preserve"> </w:t>
      </w:r>
      <w:r w:rsidRPr="001B2719">
        <w:rPr>
          <w:rFonts w:eastAsia="Arial Unicode MS" w:cs="Arial"/>
          <w:color w:val="000000"/>
          <w:sz w:val="20"/>
          <w:szCs w:val="20"/>
        </w:rPr>
        <w:t>per ogni azione di verifica e controllo,</w:t>
      </w:r>
      <w:r w:rsidRPr="001B2719">
        <w:rPr>
          <w:rFonts w:eastAsia="Arial Unicode MS" w:cs="Arial"/>
          <w:iCs/>
          <w:color w:val="000000"/>
          <w:sz w:val="20"/>
          <w:szCs w:val="20"/>
        </w:rPr>
        <w:t xml:space="preserve"> all’Autorità di Gestione, all’Autorità di Audit, alla Commissione Europea, alla Corte dei Conti Europea e ad ogni altro organismo di controllo legittimato a richiederla</w:t>
      </w:r>
      <w:r w:rsidRPr="001B2719">
        <w:rPr>
          <w:rFonts w:eastAsia="Arial Unicode MS" w:cs="Arial"/>
          <w:color w:val="000000"/>
          <w:sz w:val="20"/>
          <w:szCs w:val="20"/>
        </w:rPr>
        <w:t>, a</w:t>
      </w:r>
      <w:r w:rsidRPr="001B2719">
        <w:rPr>
          <w:rFonts w:eastAsia="Arial Unicode MS" w:cs="Arial"/>
          <w:iCs/>
          <w:color w:val="000000"/>
          <w:sz w:val="20"/>
          <w:szCs w:val="20"/>
        </w:rPr>
        <w:t xml:space="preserve">i sensi dell’art. 140, par. 1, terzo comma, del Reg. (UE) n. 1303/2013, tutta </w:t>
      </w:r>
      <w:r w:rsidRPr="001B2719">
        <w:rPr>
          <w:rFonts w:eastAsia="Arial Unicode MS" w:cs="Arial"/>
          <w:color w:val="000000"/>
          <w:sz w:val="20"/>
          <w:szCs w:val="20"/>
        </w:rPr>
        <w:t xml:space="preserve">la documentazione relativa all’operazione finanziata </w:t>
      </w:r>
      <w:r w:rsidRPr="001B2719">
        <w:rPr>
          <w:rFonts w:eastAsia="Arial Unicode MS" w:cs="Arial"/>
          <w:iCs/>
          <w:color w:val="000000"/>
          <w:sz w:val="20"/>
          <w:szCs w:val="20"/>
        </w:rPr>
        <w:t>per un periodo di due anni a decorrere dal 31 dicembre successivo alla presentazione dei conti nei quali sono incluse le spese finali dell’operazione completata</w:t>
      </w:r>
      <w:r w:rsidRPr="001B2719">
        <w:rPr>
          <w:rFonts w:eastAsia="Arial Unicode MS" w:cs="Arial"/>
          <w:color w:val="000000"/>
          <w:sz w:val="20"/>
          <w:szCs w:val="20"/>
        </w:rPr>
        <w:t>,</w:t>
      </w:r>
      <w:r w:rsidRPr="001B2719">
        <w:rPr>
          <w:rFonts w:eastAsia="Arial Unicode MS" w:cs="Arial"/>
          <w:iCs/>
          <w:color w:val="000000"/>
          <w:sz w:val="20"/>
          <w:szCs w:val="20"/>
        </w:rPr>
        <w:t xml:space="preserve"> fatti salvi eventuali termini di conservazione della documentazione più estesi </w:t>
      </w:r>
      <w:r w:rsidR="002576D9" w:rsidRPr="002576D9">
        <w:rPr>
          <w:rFonts w:eastAsia="Arial Unicode MS" w:cs="Arial"/>
          <w:iCs/>
          <w:color w:val="000000"/>
          <w:sz w:val="20"/>
          <w:szCs w:val="20"/>
        </w:rPr>
        <w:t>stabiliti dalle norme sugli aiuti di Stato, dallo stesso Avviso pubblico o da ulteriori disposizioni o provvedimenti comunitari, nazionali e regionali applicabili all’operazione</w:t>
      </w:r>
      <w:r w:rsidRPr="001B2719">
        <w:rPr>
          <w:rFonts w:eastAsia="Arial Unicode MS" w:cs="Arial"/>
          <w:color w:val="000000"/>
          <w:sz w:val="20"/>
          <w:szCs w:val="20"/>
        </w:rPr>
        <w:t xml:space="preserve"> e con espresso avvertimento che </w:t>
      </w:r>
      <w:r w:rsidRPr="001B2719">
        <w:rPr>
          <w:rFonts w:eastAsia="Arial Unicode MS" w:cs="Arial"/>
          <w:iCs/>
          <w:color w:val="000000"/>
          <w:sz w:val="20"/>
          <w:szCs w:val="20"/>
        </w:rPr>
        <w:t>il termine di conservazione della documentazione potrebbe essere interrotto nel caso di procedimento giudiziario o su richiesta debitamente motivata della Commissione Europea.</w:t>
      </w:r>
    </w:p>
    <w:p w14:paraId="6E594E67" w14:textId="77777777" w:rsidR="00375F84" w:rsidRDefault="00375F84"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Pr>
          <w:rFonts w:eastAsia="Arial Unicode MS" w:cs="Arial"/>
          <w:color w:val="000000"/>
          <w:sz w:val="20"/>
          <w:szCs w:val="20"/>
        </w:rPr>
        <w:t>rispetto degli obblighi di registrazione e aggiornamento dei dati nel Sistema Informativo e rispetto delle procedure di monitoraggio e di alimentazione degli indicatori di performance;</w:t>
      </w:r>
    </w:p>
    <w:p w14:paraId="7321B608" w14:textId="77777777" w:rsidR="00375F84" w:rsidRDefault="00375F84"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Pr>
          <w:rFonts w:eastAsia="Arial Unicode MS" w:cs="Arial"/>
          <w:color w:val="000000"/>
          <w:sz w:val="20"/>
          <w:szCs w:val="20"/>
        </w:rPr>
        <w:t>applicazione e rispetto delle disposizioni in materia di contrasto al lavoro non regolare, di ambiente e di pari opportunità, ove pertinente;</w:t>
      </w:r>
    </w:p>
    <w:p w14:paraId="6F515168" w14:textId="77777777" w:rsidR="00375F84" w:rsidRDefault="00375F84" w:rsidP="00375F84">
      <w:pPr>
        <w:numPr>
          <w:ilvl w:val="0"/>
          <w:numId w:val="7"/>
        </w:numPr>
        <w:autoSpaceDE w:val="0"/>
        <w:autoSpaceDN w:val="0"/>
        <w:adjustRightInd w:val="0"/>
        <w:spacing w:before="60" w:after="120" w:line="240" w:lineRule="atLeast"/>
        <w:contextualSpacing/>
        <w:jc w:val="both"/>
        <w:rPr>
          <w:rFonts w:eastAsia="Arial Unicode MS" w:cs="Arial"/>
          <w:color w:val="000000"/>
          <w:sz w:val="20"/>
          <w:szCs w:val="20"/>
        </w:rPr>
      </w:pPr>
      <w:r>
        <w:rPr>
          <w:rFonts w:eastAsia="Arial Unicode MS" w:cs="Arial"/>
          <w:color w:val="000000"/>
          <w:sz w:val="20"/>
          <w:szCs w:val="20"/>
        </w:rPr>
        <w:t>modalità di scambio elettronico dei dati con il beneficiario;</w:t>
      </w:r>
    </w:p>
    <w:p w14:paraId="1DACF067" w14:textId="77777777" w:rsidR="00375F84" w:rsidRDefault="00375F84" w:rsidP="00375F84">
      <w:pPr>
        <w:widowControl w:val="0"/>
        <w:numPr>
          <w:ilvl w:val="0"/>
          <w:numId w:val="7"/>
        </w:numPr>
        <w:spacing w:before="60" w:after="60" w:line="240" w:lineRule="atLeast"/>
        <w:contextualSpacing/>
        <w:jc w:val="both"/>
        <w:rPr>
          <w:rFonts w:eastAsia="Arial Unicode MS" w:cs="Arial"/>
          <w:color w:val="000000"/>
          <w:sz w:val="20"/>
          <w:szCs w:val="20"/>
        </w:rPr>
      </w:pPr>
      <w:r>
        <w:rPr>
          <w:rFonts w:eastAsia="Arial Unicode MS" w:cs="Arial"/>
          <w:color w:val="000000"/>
          <w:sz w:val="20"/>
          <w:szCs w:val="20"/>
        </w:rPr>
        <w:t>l’attestazione del possesso di capacità amministrativa, operativa e finanziaria in sede di presentazione dell’istanza;</w:t>
      </w:r>
      <w:r>
        <w:rPr>
          <w:rFonts w:cs="Arial"/>
          <w:color w:val="000000"/>
          <w:sz w:val="20"/>
          <w:szCs w:val="20"/>
        </w:rPr>
        <w:t xml:space="preserve"> </w:t>
      </w:r>
    </w:p>
    <w:p w14:paraId="0E8F6F5F" w14:textId="77777777" w:rsidR="00375F84" w:rsidRDefault="00375F84" w:rsidP="00375F84">
      <w:pPr>
        <w:widowControl w:val="0"/>
        <w:numPr>
          <w:ilvl w:val="0"/>
          <w:numId w:val="7"/>
        </w:numPr>
        <w:spacing w:before="60" w:after="60" w:line="240" w:lineRule="atLeast"/>
        <w:contextualSpacing/>
        <w:jc w:val="both"/>
        <w:rPr>
          <w:rFonts w:eastAsia="Arial Unicode MS" w:cs="Arial"/>
          <w:color w:val="000000"/>
          <w:sz w:val="20"/>
          <w:szCs w:val="20"/>
        </w:rPr>
      </w:pPr>
      <w:r>
        <w:rPr>
          <w:rFonts w:eastAsia="Arial Unicode MS" w:cs="Arial"/>
          <w:color w:val="000000"/>
          <w:sz w:val="20"/>
          <w:szCs w:val="20"/>
        </w:rPr>
        <w:t>Casi di revoca delle agevolazioni.</w:t>
      </w:r>
    </w:p>
    <w:p w14:paraId="16EFE221"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Spese ammissibili e norme di ammissibilità della spesa.</w:t>
      </w:r>
    </w:p>
    <w:p w14:paraId="0BC2CF21"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Descrizione dettagliata della proprietà dei prodotti (ove previsto).</w:t>
      </w:r>
    </w:p>
    <w:p w14:paraId="4B90CEDF"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Indicazione delle garanzie e coperture assicurative (ove previsto).</w:t>
      </w:r>
    </w:p>
    <w:p w14:paraId="0D5D2F76"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Indicazione del foro competente.</w:t>
      </w:r>
    </w:p>
    <w:p w14:paraId="4AF26B4D" w14:textId="77777777" w:rsidR="00375F84" w:rsidRDefault="00375F84" w:rsidP="00375F84">
      <w:pPr>
        <w:numPr>
          <w:ilvl w:val="0"/>
          <w:numId w:val="5"/>
        </w:numPr>
        <w:autoSpaceDE w:val="0"/>
        <w:autoSpaceDN w:val="0"/>
        <w:adjustRightInd w:val="0"/>
        <w:spacing w:after="120" w:line="240" w:lineRule="atLeast"/>
        <w:jc w:val="both"/>
        <w:rPr>
          <w:rFonts w:eastAsia="Arial Unicode MS" w:cs="Arial"/>
          <w:color w:val="000000"/>
          <w:sz w:val="20"/>
          <w:szCs w:val="20"/>
        </w:rPr>
      </w:pPr>
      <w:r>
        <w:rPr>
          <w:rFonts w:eastAsia="Arial Unicode MS" w:cs="Arial"/>
          <w:color w:val="000000"/>
          <w:sz w:val="20"/>
          <w:szCs w:val="20"/>
        </w:rPr>
        <w:t>Indicazione del responsabile del procedimento ai sensi dell’art. 4 L. 241/1990 e s.m.i..</w:t>
      </w:r>
    </w:p>
    <w:p w14:paraId="650D3144" w14:textId="77777777" w:rsidR="003F2E9A" w:rsidRPr="003F2E9A" w:rsidRDefault="003F2E9A" w:rsidP="003F2E9A">
      <w:pPr>
        <w:numPr>
          <w:ilvl w:val="0"/>
          <w:numId w:val="9"/>
        </w:numPr>
        <w:autoSpaceDE w:val="0"/>
        <w:autoSpaceDN w:val="0"/>
        <w:adjustRightInd w:val="0"/>
        <w:spacing w:after="120" w:line="240" w:lineRule="atLeast"/>
        <w:jc w:val="both"/>
        <w:rPr>
          <w:rFonts w:ascii="Calibri" w:eastAsia="Arial Unicode MS" w:hAnsi="Calibri" w:cs="Arial"/>
          <w:color w:val="000000"/>
          <w:sz w:val="20"/>
          <w:szCs w:val="20"/>
        </w:rPr>
      </w:pPr>
      <w:r w:rsidRPr="003F2E9A">
        <w:rPr>
          <w:rFonts w:ascii="Calibri" w:eastAsia="Arial Unicode MS" w:hAnsi="Calibri" w:cs="Arial"/>
          <w:color w:val="000000"/>
          <w:sz w:val="20"/>
          <w:szCs w:val="20"/>
        </w:rPr>
        <w:t>Trattamento dati personali ai sensi del Regolamento (UE) 2016/679 e del D.lgs. n. 196/2003 e ss.mm.ii., rispetto al quale è contenuto:</w:t>
      </w:r>
    </w:p>
    <w:p w14:paraId="4627F943" w14:textId="77777777" w:rsidR="003F2E9A" w:rsidRPr="003F2E9A" w:rsidRDefault="003F2E9A" w:rsidP="003F2E9A">
      <w:pPr>
        <w:numPr>
          <w:ilvl w:val="0"/>
          <w:numId w:val="10"/>
        </w:numPr>
        <w:autoSpaceDE w:val="0"/>
        <w:autoSpaceDN w:val="0"/>
        <w:adjustRightInd w:val="0"/>
        <w:spacing w:after="120" w:line="240" w:lineRule="atLeast"/>
        <w:contextualSpacing/>
        <w:jc w:val="both"/>
        <w:rPr>
          <w:rFonts w:ascii="Calibri" w:eastAsia="Arial Unicode MS" w:hAnsi="Calibri" w:cs="Arial"/>
          <w:color w:val="000000"/>
          <w:sz w:val="20"/>
          <w:szCs w:val="20"/>
        </w:rPr>
      </w:pPr>
      <w:r w:rsidRPr="003F2E9A">
        <w:rPr>
          <w:rFonts w:ascii="Calibri" w:eastAsia="Arial Unicode MS" w:hAnsi="Calibri" w:cs="Arial"/>
          <w:color w:val="000000"/>
          <w:sz w:val="20"/>
          <w:szCs w:val="20"/>
        </w:rPr>
        <w:t>Indicazione del titolare del trattamento;</w:t>
      </w:r>
    </w:p>
    <w:p w14:paraId="069246FA" w14:textId="77777777" w:rsidR="003F2E9A" w:rsidRPr="003F2E9A" w:rsidRDefault="003F2E9A" w:rsidP="003F2E9A">
      <w:pPr>
        <w:numPr>
          <w:ilvl w:val="0"/>
          <w:numId w:val="10"/>
        </w:numPr>
        <w:autoSpaceDE w:val="0"/>
        <w:autoSpaceDN w:val="0"/>
        <w:adjustRightInd w:val="0"/>
        <w:spacing w:after="120" w:line="240" w:lineRule="atLeast"/>
        <w:contextualSpacing/>
        <w:jc w:val="both"/>
        <w:rPr>
          <w:rFonts w:ascii="Calibri" w:eastAsia="Arial Unicode MS" w:hAnsi="Calibri" w:cs="Arial"/>
          <w:color w:val="000000"/>
          <w:sz w:val="20"/>
          <w:szCs w:val="20"/>
        </w:rPr>
      </w:pPr>
      <w:r w:rsidRPr="003F2E9A">
        <w:rPr>
          <w:rFonts w:ascii="Calibri" w:eastAsia="Arial Unicode MS" w:hAnsi="Calibri" w:cs="Arial"/>
          <w:color w:val="000000"/>
          <w:sz w:val="20"/>
          <w:szCs w:val="20"/>
        </w:rPr>
        <w:t>Indicazione dell’incaricato del trattamento;</w:t>
      </w:r>
    </w:p>
    <w:p w14:paraId="34B98ACF" w14:textId="77777777" w:rsidR="003F2E9A" w:rsidRPr="003F2E9A" w:rsidRDefault="003F2E9A" w:rsidP="003F2E9A">
      <w:pPr>
        <w:numPr>
          <w:ilvl w:val="0"/>
          <w:numId w:val="10"/>
        </w:numPr>
        <w:autoSpaceDE w:val="0"/>
        <w:autoSpaceDN w:val="0"/>
        <w:adjustRightInd w:val="0"/>
        <w:spacing w:after="120" w:line="240" w:lineRule="atLeast"/>
        <w:contextualSpacing/>
        <w:jc w:val="both"/>
        <w:rPr>
          <w:rFonts w:ascii="Calibri" w:eastAsia="Arial Unicode MS" w:hAnsi="Calibri" w:cs="Arial"/>
          <w:color w:val="000000"/>
          <w:sz w:val="20"/>
          <w:szCs w:val="20"/>
        </w:rPr>
      </w:pPr>
      <w:r w:rsidRPr="003F2E9A">
        <w:rPr>
          <w:rFonts w:ascii="Calibri" w:eastAsia="Arial Unicode MS" w:hAnsi="Calibri" w:cs="Arial"/>
          <w:color w:val="000000"/>
          <w:sz w:val="20"/>
          <w:szCs w:val="20"/>
        </w:rPr>
        <w:t>Indicazione del Responsabile della protezione dei dati (“RDP”);</w:t>
      </w:r>
    </w:p>
    <w:p w14:paraId="4D0F048F" w14:textId="77777777" w:rsidR="003F2E9A" w:rsidRPr="003F2E9A" w:rsidRDefault="003F2E9A" w:rsidP="003F2E9A">
      <w:pPr>
        <w:numPr>
          <w:ilvl w:val="0"/>
          <w:numId w:val="10"/>
        </w:numPr>
        <w:autoSpaceDE w:val="0"/>
        <w:autoSpaceDN w:val="0"/>
        <w:adjustRightInd w:val="0"/>
        <w:spacing w:after="120" w:line="240" w:lineRule="atLeast"/>
        <w:contextualSpacing/>
        <w:jc w:val="both"/>
        <w:rPr>
          <w:rFonts w:ascii="Calibri" w:eastAsia="Arial Unicode MS" w:hAnsi="Calibri" w:cs="Arial"/>
          <w:color w:val="000000"/>
          <w:sz w:val="20"/>
          <w:szCs w:val="20"/>
        </w:rPr>
      </w:pPr>
      <w:r w:rsidRPr="003F2E9A">
        <w:rPr>
          <w:rFonts w:ascii="Calibri" w:eastAsia="Arial Unicode MS" w:hAnsi="Calibri" w:cs="Arial"/>
          <w:color w:val="000000"/>
          <w:sz w:val="20"/>
          <w:szCs w:val="20"/>
        </w:rPr>
        <w:t>Informativa in ordine alla disponibilità di accesso ad ARACHNE</w:t>
      </w:r>
      <w:r w:rsidRPr="003F2E9A">
        <w:rPr>
          <w:rFonts w:ascii="Calibri" w:eastAsia="Arial Unicode MS" w:hAnsi="Calibri" w:cs="Arial"/>
          <w:color w:val="000000"/>
          <w:sz w:val="20"/>
          <w:szCs w:val="20"/>
          <w:vertAlign w:val="superscript"/>
        </w:rPr>
        <w:footnoteReference w:id="2"/>
      </w:r>
      <w:r w:rsidRPr="003F2E9A">
        <w:rPr>
          <w:rFonts w:ascii="Calibri" w:eastAsia="Arial Unicode MS" w:hAnsi="Calibri" w:cs="Arial"/>
          <w:color w:val="000000"/>
          <w:sz w:val="20"/>
          <w:szCs w:val="20"/>
        </w:rPr>
        <w:t xml:space="preserve"> </w:t>
      </w:r>
    </w:p>
    <w:p w14:paraId="510B53F8" w14:textId="5C2D6C3E" w:rsidR="00375F84" w:rsidRPr="002576D9" w:rsidRDefault="00375F84" w:rsidP="00C075A1">
      <w:pPr>
        <w:numPr>
          <w:ilvl w:val="0"/>
          <w:numId w:val="8"/>
        </w:numPr>
        <w:autoSpaceDE w:val="0"/>
        <w:autoSpaceDN w:val="0"/>
        <w:adjustRightInd w:val="0"/>
        <w:spacing w:after="120" w:line="240" w:lineRule="atLeast"/>
        <w:contextualSpacing/>
        <w:jc w:val="both"/>
        <w:rPr>
          <w:rFonts w:eastAsia="Arial Unicode MS" w:cs="Arial"/>
          <w:color w:val="000000"/>
          <w:sz w:val="20"/>
          <w:szCs w:val="20"/>
        </w:rPr>
      </w:pPr>
    </w:p>
    <w:p w14:paraId="4C158A74" w14:textId="16ADBC7D" w:rsidR="00C353EA" w:rsidRPr="006960C5" w:rsidRDefault="00C353EA" w:rsidP="00375F84">
      <w:pPr>
        <w:widowControl w:val="0"/>
        <w:spacing w:after="60" w:line="276" w:lineRule="auto"/>
        <w:jc w:val="center"/>
        <w:rPr>
          <w:rFonts w:ascii="Arial" w:eastAsia="Times New Roman" w:hAnsi="Arial" w:cs="Times New Roman"/>
          <w:sz w:val="20"/>
          <w:szCs w:val="20"/>
          <w:lang w:val="x-none" w:eastAsia="it-IT"/>
        </w:rPr>
      </w:pPr>
    </w:p>
    <w:sectPr w:rsidR="00C353EA" w:rsidRPr="006960C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CF473" w14:textId="77777777" w:rsidR="009611EB" w:rsidRDefault="009611EB" w:rsidP="003F041C">
      <w:pPr>
        <w:spacing w:after="0" w:line="240" w:lineRule="auto"/>
      </w:pPr>
      <w:r>
        <w:separator/>
      </w:r>
    </w:p>
  </w:endnote>
  <w:endnote w:type="continuationSeparator" w:id="0">
    <w:p w14:paraId="3B350E23" w14:textId="77777777" w:rsidR="009611EB" w:rsidRDefault="009611EB" w:rsidP="003F041C">
      <w:pPr>
        <w:spacing w:after="0" w:line="240" w:lineRule="auto"/>
      </w:pPr>
      <w:r>
        <w:continuationSeparator/>
      </w:r>
    </w:p>
  </w:endnote>
  <w:endnote w:type="continuationNotice" w:id="1">
    <w:p w14:paraId="3B87A0A5" w14:textId="77777777" w:rsidR="009611EB" w:rsidRDefault="009611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Roman">
    <w:altName w:val="Times"/>
    <w:panose1 w:val="0000050000000002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F04458" w14:textId="77777777" w:rsidR="009611EB" w:rsidRDefault="009611EB" w:rsidP="003F041C">
      <w:pPr>
        <w:spacing w:after="0" w:line="240" w:lineRule="auto"/>
      </w:pPr>
      <w:r>
        <w:separator/>
      </w:r>
    </w:p>
  </w:footnote>
  <w:footnote w:type="continuationSeparator" w:id="0">
    <w:p w14:paraId="381B9388" w14:textId="77777777" w:rsidR="009611EB" w:rsidRDefault="009611EB" w:rsidP="003F041C">
      <w:pPr>
        <w:spacing w:after="0" w:line="240" w:lineRule="auto"/>
      </w:pPr>
      <w:r>
        <w:continuationSeparator/>
      </w:r>
    </w:p>
  </w:footnote>
  <w:footnote w:type="continuationNotice" w:id="1">
    <w:p w14:paraId="772A20D3" w14:textId="77777777" w:rsidR="009611EB" w:rsidRDefault="009611EB">
      <w:pPr>
        <w:spacing w:after="0" w:line="240" w:lineRule="auto"/>
      </w:pPr>
    </w:p>
  </w:footnote>
  <w:footnote w:id="2">
    <w:p w14:paraId="542EC83A" w14:textId="77777777" w:rsidR="003F2E9A" w:rsidRPr="003771CF" w:rsidRDefault="003F2E9A" w:rsidP="003F2E9A">
      <w:pPr>
        <w:pStyle w:val="Testonotaapidipagina"/>
        <w:jc w:val="both"/>
        <w:rPr>
          <w:i/>
          <w:sz w:val="16"/>
          <w:szCs w:val="16"/>
        </w:rPr>
      </w:pPr>
      <w:r>
        <w:rPr>
          <w:rStyle w:val="Rimandonotaapidipagina"/>
        </w:rPr>
        <w:footnoteRef/>
      </w:r>
      <w:r>
        <w:t xml:space="preserve"> </w:t>
      </w:r>
      <w:r w:rsidRPr="003771CF">
        <w:rPr>
          <w:sz w:val="16"/>
          <w:szCs w:val="16"/>
        </w:rPr>
        <w:t>“</w:t>
      </w:r>
      <w:r w:rsidRPr="003771CF">
        <w:rPr>
          <w:i/>
          <w:sz w:val="16"/>
          <w:szCs w:val="16"/>
        </w:rPr>
        <w:t xml:space="preserve">La Regione Puglia informa di disporre di accesso al sistema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21C43097" w14:textId="77777777" w:rsidR="003F2E9A" w:rsidRPr="003771CF" w:rsidRDefault="003F2E9A" w:rsidP="003F2E9A">
      <w:pPr>
        <w:pStyle w:val="Testonotaapidipagina"/>
        <w:jc w:val="both"/>
        <w:rPr>
          <w:i/>
          <w:sz w:val="16"/>
          <w:szCs w:val="16"/>
        </w:rPr>
      </w:pPr>
      <w:r w:rsidRPr="003771CF">
        <w:rPr>
          <w:i/>
          <w:sz w:val="16"/>
          <w:szCs w:val="16"/>
        </w:rPr>
        <w:t xml:space="preserve">Il sistema ARACHNE è alimentato da fonti dati esterne, quali banche dati mondiali (Orbis e Lexis Nexis World compliance), sistemi informativi della Commissione Europea (VIES e Infoeuro) e 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7E88CA52" w14:textId="77777777" w:rsidR="003F2E9A" w:rsidRPr="003771CF" w:rsidRDefault="003F2E9A" w:rsidP="003F2E9A">
      <w:pPr>
        <w:pStyle w:val="Testonotaapidipagina"/>
        <w:jc w:val="both"/>
        <w:rPr>
          <w:i/>
          <w:sz w:val="16"/>
          <w:szCs w:val="16"/>
        </w:rPr>
      </w:pPr>
      <w:r w:rsidRPr="003771CF">
        <w:rPr>
          <w:i/>
          <w:sz w:val="16"/>
          <w:szCs w:val="16"/>
        </w:rPr>
        <w:t xml:space="preserve">La Regione Puglia trasmette telematicamente al sistema informativo ARACHNE i dati delle operazioni rendicontate nell’ambito del POR Puglia FESR-FSE 2014-2020 per il tramite del “Sistema Nazionale di Monitoraggio” gestito dal Ministero dell’Economia e delle Finanze-RGS-IGRUE. </w:t>
      </w:r>
    </w:p>
    <w:p w14:paraId="60C6B834" w14:textId="77777777" w:rsidR="003F2E9A" w:rsidRPr="003771CF" w:rsidRDefault="003F2E9A" w:rsidP="003F2E9A">
      <w:pPr>
        <w:pStyle w:val="Testonotaapidipagina"/>
        <w:jc w:val="both"/>
        <w:rPr>
          <w:i/>
          <w:sz w:val="16"/>
          <w:szCs w:val="16"/>
        </w:rPr>
      </w:pPr>
      <w:r w:rsidRPr="003771CF">
        <w:rPr>
          <w:i/>
          <w:sz w:val="16"/>
          <w:szCs w:val="16"/>
        </w:rPr>
        <w:t>I dati disponibili nel sistema ARACHNE saranno trattati dalla Regione Puglia esclusivamente al fine di individuare i rischi di frode e le irregolarità a livello di beneficiari, contraenti, contratti e progetti. Il sistema ARACHNE potrà essere utilizzato sia nella fase di selezione sia nella eventuale fase di attuazione dell’operazione.</w:t>
      </w:r>
    </w:p>
    <w:p w14:paraId="42958C04" w14:textId="77777777" w:rsidR="003F2E9A" w:rsidRDefault="003F2E9A" w:rsidP="003F2E9A">
      <w:pPr>
        <w:pStyle w:val="Testonotaapidipagina"/>
        <w:jc w:val="both"/>
      </w:pPr>
      <w:r w:rsidRPr="003771CF">
        <w:rPr>
          <w:i/>
          <w:sz w:val="16"/>
          <w:szCs w:val="16"/>
        </w:rPr>
        <w:t xml:space="preserve">Il processo e lo scopo dell’analisi dei dati operato da ARACHNE è descritto alla seguente pagina web della Commissione Europea:  </w:t>
      </w:r>
      <w:hyperlink r:id="rId1" w:history="1">
        <w:r w:rsidRPr="003771CF">
          <w:rPr>
            <w:rStyle w:val="Collegamentoipertestuale"/>
            <w:i/>
            <w:sz w:val="16"/>
            <w:szCs w:val="16"/>
          </w:rPr>
          <w:t>https://ec.europa.eu/social/main.jsp?catId=325&amp;intPageId=3587&amp;langId=it</w:t>
        </w:r>
      </w:hyperlink>
      <w:r w:rsidRPr="003771CF">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AD270A">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20D4FAA8"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14:paraId="38DFD06A" w14:textId="6A7E9D88" w:rsidR="003F041C" w:rsidRPr="0053552B" w:rsidRDefault="003F041C" w:rsidP="003F041C">
          <w:pPr>
            <w:pStyle w:val="Intestazione"/>
            <w:spacing w:line="254" w:lineRule="auto"/>
            <w:jc w:val="center"/>
            <w:rPr>
              <w:rFonts w:ascii="Arial" w:hAnsi="Arial" w:cs="Arial"/>
            </w:rPr>
          </w:pPr>
          <w:r w:rsidRPr="0053552B">
            <w:rPr>
              <w:rFonts w:ascii="Arial" w:hAnsi="Arial" w:cs="Arial"/>
            </w:rPr>
            <w:t xml:space="preserve">Procedure del personale dell’AdG per la </w:t>
          </w:r>
          <w:r w:rsidR="008C01DB">
            <w:rPr>
              <w:rFonts w:ascii="Arial" w:hAnsi="Arial" w:cs="Arial"/>
            </w:rPr>
            <w:t>gestione del POR 2014-2020 (FSE</w:t>
          </w:r>
          <w:r w:rsidRPr="0053552B">
            <w:rPr>
              <w:rFonts w:ascii="Arial" w:hAnsi="Arial" w:cs="Arial"/>
            </w:rPr>
            <w:t>)</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548B0FD6" w:rsidR="003F041C" w:rsidRPr="00375F84" w:rsidRDefault="008C01DB" w:rsidP="003F041C">
          <w:pPr>
            <w:pStyle w:val="Intestazione"/>
            <w:spacing w:line="254" w:lineRule="auto"/>
            <w:jc w:val="center"/>
            <w:rPr>
              <w:rFonts w:ascii="Arial" w:hAnsi="Arial" w:cs="Arial"/>
              <w:b/>
            </w:rPr>
          </w:pPr>
          <w:r>
            <w:rPr>
              <w:rStyle w:val="TitoloPOSCarattere"/>
              <w:rFonts w:eastAsiaTheme="minorHAnsi" w:cs="Arial"/>
              <w:szCs w:val="22"/>
            </w:rPr>
            <w:t>POS D</w:t>
          </w:r>
          <w:r w:rsidR="006D6E60">
            <w:rPr>
              <w:rStyle w:val="TitoloPOSCarattere"/>
              <w:rFonts w:eastAsiaTheme="minorHAnsi" w:cs="Arial"/>
              <w:szCs w:val="22"/>
            </w:rPr>
            <w:t>.1c</w:t>
          </w:r>
          <w:r w:rsidR="00287067">
            <w:rPr>
              <w:rFonts w:ascii="Arial" w:hAnsi="Arial" w:cs="Arial"/>
              <w:b/>
            </w:rPr>
            <w:t xml:space="preserve"> in vigore </w:t>
          </w:r>
          <w:r w:rsidR="00287067" w:rsidRPr="00375F84">
            <w:rPr>
              <w:rFonts w:ascii="Arial" w:hAnsi="Arial" w:cs="Arial"/>
              <w:b/>
            </w:rPr>
            <w:t>dal</w:t>
          </w:r>
          <w:r w:rsidR="003F041C" w:rsidRPr="00375F84">
            <w:rPr>
              <w:rFonts w:ascii="Arial" w:hAnsi="Arial" w:cs="Arial"/>
              <w:b/>
            </w:rPr>
            <w:t xml:space="preserve"> </w:t>
          </w:r>
          <w:r w:rsidR="00234678">
            <w:rPr>
              <w:rFonts w:ascii="Arial" w:hAnsi="Arial" w:cs="Arial"/>
              <w:b/>
            </w:rPr>
            <w:t>8</w:t>
          </w:r>
          <w:r w:rsidR="003F041C" w:rsidRPr="00375F84">
            <w:rPr>
              <w:rFonts w:ascii="Arial" w:hAnsi="Arial" w:cs="Arial"/>
              <w:b/>
            </w:rPr>
            <w:t>/</w:t>
          </w:r>
          <w:r w:rsidR="00234678">
            <w:rPr>
              <w:rFonts w:ascii="Arial" w:hAnsi="Arial" w:cs="Arial"/>
              <w:b/>
            </w:rPr>
            <w:t>10</w:t>
          </w:r>
          <w:r w:rsidR="00AB6987">
            <w:rPr>
              <w:rFonts w:ascii="Arial" w:hAnsi="Arial" w:cs="Arial"/>
              <w:b/>
            </w:rPr>
            <w:t>/2020</w:t>
          </w:r>
        </w:p>
        <w:p w14:paraId="0E65C799" w14:textId="4CE4E3B2" w:rsidR="003F041C" w:rsidRDefault="003F041C" w:rsidP="008C01DB">
          <w:pPr>
            <w:pStyle w:val="Intestazione"/>
            <w:spacing w:line="254" w:lineRule="auto"/>
            <w:jc w:val="center"/>
            <w:rPr>
              <w:b/>
              <w:sz w:val="18"/>
              <w:szCs w:val="18"/>
            </w:rPr>
          </w:pPr>
          <w:r w:rsidRPr="00375F84">
            <w:rPr>
              <w:rFonts w:ascii="Arial" w:hAnsi="Arial" w:cs="Arial"/>
              <w:b/>
            </w:rPr>
            <w:t xml:space="preserve">Vers. </w:t>
          </w:r>
          <w:r w:rsidR="00350189">
            <w:rPr>
              <w:rFonts w:ascii="Arial" w:hAnsi="Arial" w:cs="Arial"/>
              <w:b/>
            </w:rPr>
            <w:t>3</w:t>
          </w:r>
        </w:p>
      </w:tc>
    </w:tr>
    <w:tr w:rsidR="003F041C" w14:paraId="7FD21B3A" w14:textId="77777777" w:rsidTr="00AD270A">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3857151F" w14:textId="625E21E4" w:rsidR="003F041C" w:rsidRDefault="006D6E60" w:rsidP="008C01DB">
          <w:pPr>
            <w:pStyle w:val="Intestazione"/>
            <w:spacing w:line="254" w:lineRule="auto"/>
            <w:jc w:val="center"/>
            <w:rPr>
              <w:rFonts w:cs="Arial"/>
              <w:b/>
              <w:color w:val="00B050"/>
              <w:sz w:val="28"/>
              <w:szCs w:val="28"/>
            </w:rPr>
          </w:pPr>
          <w:r w:rsidRPr="006D6E60">
            <w:rPr>
              <w:rFonts w:ascii="Arial" w:hAnsi="Arial" w:cs="Arial"/>
              <w:b/>
              <w:color w:val="00B050"/>
              <w:sz w:val="28"/>
              <w:szCs w:val="28"/>
            </w:rPr>
            <w:t>Selezione delle operazioni riguardanti Aiuti di Stato</w:t>
          </w:r>
          <w:r w:rsidR="003F041C" w:rsidRPr="0053552B">
            <w:rPr>
              <w:rFonts w:ascii="Arial" w:hAnsi="Arial" w:cs="Arial"/>
              <w:b/>
              <w:color w:val="00B050"/>
              <w:sz w:val="28"/>
              <w:szCs w:val="28"/>
            </w:rPr>
            <w:t xml:space="preserve"> </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31BD662F"/>
    <w:multiLevelType w:val="hybridMultilevel"/>
    <w:tmpl w:val="C2C0DD6A"/>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 w15:restartNumberingAfterBreak="0">
    <w:nsid w:val="47177849"/>
    <w:multiLevelType w:val="hybridMultilevel"/>
    <w:tmpl w:val="D92C14A0"/>
    <w:lvl w:ilvl="0" w:tplc="9C5C25D0">
      <w:start w:val="1"/>
      <w:numFmt w:val="lowerLetter"/>
      <w:lvlText w:val="%1."/>
      <w:lvlJc w:val="left"/>
      <w:pPr>
        <w:tabs>
          <w:tab w:val="num" w:pos="720"/>
        </w:tabs>
        <w:ind w:left="720" w:hanging="360"/>
      </w:pPr>
    </w:lvl>
    <w:lvl w:ilvl="1" w:tplc="04100019">
      <w:start w:val="1"/>
      <w:numFmt w:val="lowerLetter"/>
      <w:lvlText w:val="%2."/>
      <w:lvlJc w:val="left"/>
      <w:pPr>
        <w:tabs>
          <w:tab w:val="num" w:pos="360"/>
        </w:tabs>
        <w:ind w:left="360" w:hanging="360"/>
      </w:pPr>
    </w:lvl>
    <w:lvl w:ilvl="2" w:tplc="66B80DF8">
      <w:numFmt w:val="bullet"/>
      <w:lvlText w:val="-"/>
      <w:lvlJc w:val="left"/>
      <w:pPr>
        <w:tabs>
          <w:tab w:val="num" w:pos="1260"/>
        </w:tabs>
        <w:ind w:left="1260" w:hanging="360"/>
      </w:pPr>
      <w:rPr>
        <w:rFonts w:ascii="Calibri" w:eastAsia="Calibri" w:hAnsi="Calibri" w:cs="Times New Roman" w:hint="default"/>
      </w:rPr>
    </w:lvl>
    <w:lvl w:ilvl="3" w:tplc="0410000F">
      <w:start w:val="1"/>
      <w:numFmt w:val="decimal"/>
      <w:lvlText w:val="%4."/>
      <w:lvlJc w:val="left"/>
      <w:pPr>
        <w:tabs>
          <w:tab w:val="num" w:pos="1800"/>
        </w:tabs>
        <w:ind w:left="1800" w:hanging="360"/>
      </w:pPr>
    </w:lvl>
    <w:lvl w:ilvl="4" w:tplc="04100019">
      <w:start w:val="1"/>
      <w:numFmt w:val="lowerLetter"/>
      <w:lvlText w:val="%5."/>
      <w:lvlJc w:val="left"/>
      <w:pPr>
        <w:tabs>
          <w:tab w:val="num" w:pos="2520"/>
        </w:tabs>
        <w:ind w:left="2520" w:hanging="360"/>
      </w:pPr>
    </w:lvl>
    <w:lvl w:ilvl="5" w:tplc="0410001B">
      <w:start w:val="1"/>
      <w:numFmt w:val="lowerRoman"/>
      <w:lvlText w:val="%6."/>
      <w:lvlJc w:val="right"/>
      <w:pPr>
        <w:tabs>
          <w:tab w:val="num" w:pos="3240"/>
        </w:tabs>
        <w:ind w:left="3240" w:hanging="180"/>
      </w:pPr>
    </w:lvl>
    <w:lvl w:ilvl="6" w:tplc="0410000F">
      <w:start w:val="1"/>
      <w:numFmt w:val="decimal"/>
      <w:lvlText w:val="%7."/>
      <w:lvlJc w:val="left"/>
      <w:pPr>
        <w:tabs>
          <w:tab w:val="num" w:pos="3960"/>
        </w:tabs>
        <w:ind w:left="3960" w:hanging="360"/>
      </w:pPr>
    </w:lvl>
    <w:lvl w:ilvl="7" w:tplc="04100019">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4" w15:restartNumberingAfterBreak="0">
    <w:nsid w:val="510F05AA"/>
    <w:multiLevelType w:val="hybridMultilevel"/>
    <w:tmpl w:val="DA78BD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6" w15:restartNumberingAfterBreak="0">
    <w:nsid w:val="5FA635A1"/>
    <w:multiLevelType w:val="hybridMultilevel"/>
    <w:tmpl w:val="E1B0C8E6"/>
    <w:lvl w:ilvl="0" w:tplc="9C5C25D0">
      <w:start w:val="1"/>
      <w:numFmt w:val="lowerLetter"/>
      <w:lvlText w:val="%1."/>
      <w:lvlJc w:val="left"/>
      <w:pPr>
        <w:tabs>
          <w:tab w:val="num" w:pos="720"/>
        </w:tabs>
        <w:ind w:left="720" w:hanging="360"/>
      </w:pPr>
    </w:lvl>
    <w:lvl w:ilvl="1" w:tplc="04100019">
      <w:start w:val="1"/>
      <w:numFmt w:val="lowerLetter"/>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DE62EF38">
      <w:start w:val="1"/>
      <w:numFmt w:val="decimal"/>
      <w:lvlText w:val="%4)"/>
      <w:lvlJc w:val="left"/>
      <w:pPr>
        <w:tabs>
          <w:tab w:val="num" w:pos="1800"/>
        </w:tabs>
        <w:ind w:left="1800" w:hanging="360"/>
      </w:pPr>
    </w:lvl>
    <w:lvl w:ilvl="4" w:tplc="04100019">
      <w:start w:val="1"/>
      <w:numFmt w:val="lowerLetter"/>
      <w:lvlText w:val="%5."/>
      <w:lvlJc w:val="left"/>
      <w:pPr>
        <w:tabs>
          <w:tab w:val="num" w:pos="2520"/>
        </w:tabs>
        <w:ind w:left="2520" w:hanging="360"/>
      </w:pPr>
    </w:lvl>
    <w:lvl w:ilvl="5" w:tplc="0410001B">
      <w:start w:val="1"/>
      <w:numFmt w:val="lowerRoman"/>
      <w:lvlText w:val="%6."/>
      <w:lvlJc w:val="right"/>
      <w:pPr>
        <w:tabs>
          <w:tab w:val="num" w:pos="3240"/>
        </w:tabs>
        <w:ind w:left="3240" w:hanging="180"/>
      </w:pPr>
    </w:lvl>
    <w:lvl w:ilvl="6" w:tplc="0410000F">
      <w:start w:val="1"/>
      <w:numFmt w:val="decimal"/>
      <w:lvlText w:val="%7."/>
      <w:lvlJc w:val="left"/>
      <w:pPr>
        <w:tabs>
          <w:tab w:val="num" w:pos="3960"/>
        </w:tabs>
        <w:ind w:left="3960" w:hanging="360"/>
      </w:pPr>
    </w:lvl>
    <w:lvl w:ilvl="7" w:tplc="04100019">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7" w15:restartNumberingAfterBreak="0">
    <w:nsid w:val="6DEE223C"/>
    <w:multiLevelType w:val="hybridMultilevel"/>
    <w:tmpl w:val="FA8ED13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7A560519"/>
    <w:multiLevelType w:val="hybridMultilevel"/>
    <w:tmpl w:val="C0146FF0"/>
    <w:lvl w:ilvl="0" w:tplc="D9288DD2">
      <w:start w:val="1"/>
      <w:numFmt w:val="bullet"/>
      <w:pStyle w:val="Paragrafoelenco"/>
      <w:lvlText w:val=""/>
      <w:lvlJc w:val="left"/>
      <w:pPr>
        <w:ind w:left="644" w:hanging="360"/>
      </w:pPr>
      <w:rPr>
        <w:rFonts w:ascii="Wingdings" w:hAnsi="Wingdings" w:hint="default"/>
        <w:b/>
        <w:color w:val="943634"/>
        <w:sz w:val="18"/>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5"/>
  </w:num>
  <w:num w:numId="4">
    <w:abstractNumId w:val="8"/>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7"/>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056BA"/>
    <w:rsid w:val="00011BE0"/>
    <w:rsid w:val="00025EF5"/>
    <w:rsid w:val="00027258"/>
    <w:rsid w:val="0005053B"/>
    <w:rsid w:val="00050D96"/>
    <w:rsid w:val="00091A05"/>
    <w:rsid w:val="000B3C68"/>
    <w:rsid w:val="000C55A1"/>
    <w:rsid w:val="000C6736"/>
    <w:rsid w:val="000D48A0"/>
    <w:rsid w:val="000E4548"/>
    <w:rsid w:val="000E6CC9"/>
    <w:rsid w:val="00116127"/>
    <w:rsid w:val="00150D1F"/>
    <w:rsid w:val="0015273B"/>
    <w:rsid w:val="00176130"/>
    <w:rsid w:val="001806DD"/>
    <w:rsid w:val="00182D0A"/>
    <w:rsid w:val="001B16A5"/>
    <w:rsid w:val="001B2719"/>
    <w:rsid w:val="001B5FBC"/>
    <w:rsid w:val="001D7279"/>
    <w:rsid w:val="00205F38"/>
    <w:rsid w:val="002174C8"/>
    <w:rsid w:val="002322AE"/>
    <w:rsid w:val="00234678"/>
    <w:rsid w:val="00235A65"/>
    <w:rsid w:val="0023633E"/>
    <w:rsid w:val="002576D9"/>
    <w:rsid w:val="00284326"/>
    <w:rsid w:val="00285819"/>
    <w:rsid w:val="00287067"/>
    <w:rsid w:val="002C3331"/>
    <w:rsid w:val="002D1A50"/>
    <w:rsid w:val="002F07DF"/>
    <w:rsid w:val="00300606"/>
    <w:rsid w:val="003079D5"/>
    <w:rsid w:val="00315B1C"/>
    <w:rsid w:val="00350189"/>
    <w:rsid w:val="00367C8B"/>
    <w:rsid w:val="00375F84"/>
    <w:rsid w:val="00382C62"/>
    <w:rsid w:val="00382F20"/>
    <w:rsid w:val="003B3255"/>
    <w:rsid w:val="003F041C"/>
    <w:rsid w:val="003F2E9A"/>
    <w:rsid w:val="00411719"/>
    <w:rsid w:val="00412972"/>
    <w:rsid w:val="00412C02"/>
    <w:rsid w:val="00417C03"/>
    <w:rsid w:val="004363D2"/>
    <w:rsid w:val="00447B27"/>
    <w:rsid w:val="00456F6A"/>
    <w:rsid w:val="004633E8"/>
    <w:rsid w:val="0046694D"/>
    <w:rsid w:val="00484D8D"/>
    <w:rsid w:val="004916C1"/>
    <w:rsid w:val="004A21F9"/>
    <w:rsid w:val="004D4E12"/>
    <w:rsid w:val="004F67D6"/>
    <w:rsid w:val="005269A2"/>
    <w:rsid w:val="0053552B"/>
    <w:rsid w:val="00561A5E"/>
    <w:rsid w:val="00592551"/>
    <w:rsid w:val="005F68FB"/>
    <w:rsid w:val="006019A6"/>
    <w:rsid w:val="00661874"/>
    <w:rsid w:val="0066500C"/>
    <w:rsid w:val="0067146D"/>
    <w:rsid w:val="00684D0A"/>
    <w:rsid w:val="006960C5"/>
    <w:rsid w:val="006A0FFB"/>
    <w:rsid w:val="006B6B04"/>
    <w:rsid w:val="006C3383"/>
    <w:rsid w:val="006D14EC"/>
    <w:rsid w:val="006D348E"/>
    <w:rsid w:val="006D6E60"/>
    <w:rsid w:val="0071103A"/>
    <w:rsid w:val="00716F03"/>
    <w:rsid w:val="00745B3A"/>
    <w:rsid w:val="00786113"/>
    <w:rsid w:val="008058FB"/>
    <w:rsid w:val="00816470"/>
    <w:rsid w:val="008168CD"/>
    <w:rsid w:val="008364B5"/>
    <w:rsid w:val="00862034"/>
    <w:rsid w:val="00874E87"/>
    <w:rsid w:val="00883EED"/>
    <w:rsid w:val="00885D43"/>
    <w:rsid w:val="00887FE9"/>
    <w:rsid w:val="008B21C3"/>
    <w:rsid w:val="008C01DB"/>
    <w:rsid w:val="00905200"/>
    <w:rsid w:val="00905CBE"/>
    <w:rsid w:val="009174DC"/>
    <w:rsid w:val="00934228"/>
    <w:rsid w:val="00955000"/>
    <w:rsid w:val="009611EB"/>
    <w:rsid w:val="009673C4"/>
    <w:rsid w:val="00977401"/>
    <w:rsid w:val="009A222E"/>
    <w:rsid w:val="009A4279"/>
    <w:rsid w:val="009C1558"/>
    <w:rsid w:val="009D3BE8"/>
    <w:rsid w:val="009E4250"/>
    <w:rsid w:val="00A12AD5"/>
    <w:rsid w:val="00A167AA"/>
    <w:rsid w:val="00A232CA"/>
    <w:rsid w:val="00A327DB"/>
    <w:rsid w:val="00A86A0F"/>
    <w:rsid w:val="00AB0463"/>
    <w:rsid w:val="00AB6987"/>
    <w:rsid w:val="00AB7E62"/>
    <w:rsid w:val="00AC474C"/>
    <w:rsid w:val="00AD270A"/>
    <w:rsid w:val="00AF5809"/>
    <w:rsid w:val="00AF7964"/>
    <w:rsid w:val="00B17E66"/>
    <w:rsid w:val="00BE7B47"/>
    <w:rsid w:val="00BF41FE"/>
    <w:rsid w:val="00BF5666"/>
    <w:rsid w:val="00C051F4"/>
    <w:rsid w:val="00C075A1"/>
    <w:rsid w:val="00C2353B"/>
    <w:rsid w:val="00C23C03"/>
    <w:rsid w:val="00C353EA"/>
    <w:rsid w:val="00C366B3"/>
    <w:rsid w:val="00C835EF"/>
    <w:rsid w:val="00CC4238"/>
    <w:rsid w:val="00CC66D1"/>
    <w:rsid w:val="00D26126"/>
    <w:rsid w:val="00D26AF1"/>
    <w:rsid w:val="00D422AC"/>
    <w:rsid w:val="00D67073"/>
    <w:rsid w:val="00D90DE7"/>
    <w:rsid w:val="00DE496B"/>
    <w:rsid w:val="00DF3E2E"/>
    <w:rsid w:val="00E0090B"/>
    <w:rsid w:val="00E06C91"/>
    <w:rsid w:val="00E7692C"/>
    <w:rsid w:val="00ED427A"/>
    <w:rsid w:val="00ED6AA5"/>
    <w:rsid w:val="00F06A21"/>
    <w:rsid w:val="00F24A95"/>
    <w:rsid w:val="00F439F6"/>
    <w:rsid w:val="00F74A4B"/>
    <w:rsid w:val="00F762A7"/>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 w:type="paragraph" w:styleId="Paragrafoelenco">
    <w:name w:val="List Paragraph"/>
    <w:basedOn w:val="Normale"/>
    <w:uiPriority w:val="1"/>
    <w:qFormat/>
    <w:rsid w:val="00375F84"/>
    <w:pPr>
      <w:numPr>
        <w:numId w:val="4"/>
      </w:numPr>
      <w:spacing w:before="60" w:after="120" w:line="240" w:lineRule="auto"/>
      <w:contextualSpacing/>
      <w:jc w:val="both"/>
    </w:pPr>
    <w:rPr>
      <w:rFonts w:ascii="Calibri" w:eastAsia="Calibri" w:hAnsi="Calibri" w:cs="Times New Roman"/>
    </w:rPr>
  </w:style>
  <w:style w:type="paragraph" w:styleId="Testonotaapidipagina">
    <w:name w:val="footnote text"/>
    <w:basedOn w:val="Normale"/>
    <w:link w:val="TestonotaapidipaginaCarattere"/>
    <w:uiPriority w:val="99"/>
    <w:semiHidden/>
    <w:unhideWhenUsed/>
    <w:rsid w:val="003F2E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3F2E9A"/>
    <w:rPr>
      <w:sz w:val="20"/>
      <w:szCs w:val="20"/>
    </w:rPr>
  </w:style>
  <w:style w:type="character" w:styleId="Rimandonotaapidipagina">
    <w:name w:val="footnote reference"/>
    <w:basedOn w:val="Carpredefinitoparagrafo"/>
    <w:uiPriority w:val="99"/>
    <w:semiHidden/>
    <w:unhideWhenUsed/>
    <w:rsid w:val="003F2E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833598">
      <w:bodyDiv w:val="1"/>
      <w:marLeft w:val="0"/>
      <w:marRight w:val="0"/>
      <w:marTop w:val="0"/>
      <w:marBottom w:val="0"/>
      <w:divBdr>
        <w:top w:val="none" w:sz="0" w:space="0" w:color="auto"/>
        <w:left w:val="none" w:sz="0" w:space="0" w:color="auto"/>
        <w:bottom w:val="none" w:sz="0" w:space="0" w:color="auto"/>
        <w:right w:val="none" w:sz="0" w:space="0" w:color="auto"/>
      </w:divBdr>
    </w:div>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ocial/main.jsp?catId=325&amp;intPageId=3587&amp;langId=i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316607-56D1-D541-9CA0-CDD34291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1342</Words>
  <Characters>7656</Characters>
  <Application>Microsoft Office Word</Application>
  <DocSecurity>0</DocSecurity>
  <Lines>63</Lines>
  <Paragraphs>17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2020-05-12T11:45:00Z</dcterms:created>
  <dcterms:modified xsi:type="dcterms:W3CDTF">2020-10-09T09:02:00Z</dcterms:modified>
</cp:coreProperties>
</file>